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FC2E" w14:textId="77777777" w:rsidR="00F8376C" w:rsidRPr="00F8376C" w:rsidRDefault="00F8376C" w:rsidP="0078557D">
      <w:pPr>
        <w:rPr>
          <w:b/>
          <w:color w:val="0033CC"/>
          <w:sz w:val="32"/>
          <w:szCs w:val="32"/>
          <w:u w:val="single"/>
        </w:rPr>
      </w:pPr>
      <w:r w:rsidRPr="00F8376C">
        <w:rPr>
          <w:b/>
          <w:color w:val="0033CC"/>
          <w:sz w:val="32"/>
          <w:szCs w:val="32"/>
          <w:u w:val="single"/>
        </w:rPr>
        <w:t>DENMARK</w:t>
      </w:r>
    </w:p>
    <w:p w14:paraId="22092D8E" w14:textId="77777777" w:rsidR="0078557D" w:rsidRDefault="00000000" w:rsidP="0078557D">
      <w:pPr>
        <w:rPr>
          <w:rStyle w:val="Hyperlink"/>
          <w:sz w:val="24"/>
          <w:szCs w:val="24"/>
        </w:rPr>
      </w:pPr>
      <w:hyperlink r:id="rId8" w:history="1">
        <w:r w:rsidR="00F8376C">
          <w:rPr>
            <w:rStyle w:val="Hyperlink"/>
            <w:b/>
            <w:bCs/>
            <w:sz w:val="24"/>
            <w:szCs w:val="24"/>
          </w:rPr>
          <w:t>Copenhagen Business School</w:t>
        </w:r>
      </w:hyperlink>
      <w:r w:rsidR="0078557D" w:rsidRPr="00C46F13">
        <w:rPr>
          <w:sz w:val="24"/>
          <w:szCs w:val="24"/>
        </w:rPr>
        <w:br/>
      </w:r>
      <w:hyperlink r:id="rId9" w:history="1">
        <w:r w:rsidR="0078557D" w:rsidRPr="00C46F13">
          <w:rPr>
            <w:rStyle w:val="Hyperlink"/>
            <w:sz w:val="24"/>
            <w:szCs w:val="24"/>
          </w:rPr>
          <w:t>Copenhagen Business School Exchange Program</w:t>
        </w:r>
      </w:hyperlink>
    </w:p>
    <w:p w14:paraId="552566F1" w14:textId="77777777" w:rsidR="0015758C" w:rsidRPr="009F4D0B" w:rsidRDefault="0015758C" w:rsidP="0015758C">
      <w:r w:rsidRPr="009F4D0B">
        <w:t xml:space="preserve">Copenhagen Business School (CBS) was established in 1917. Today, with 20,000 students and 1,500 employees, CBS is </w:t>
      </w:r>
      <w:r w:rsidR="00F8376C" w:rsidRPr="009F4D0B">
        <w:t xml:space="preserve">one of eight Danish universities and </w:t>
      </w:r>
      <w:r w:rsidRPr="009F4D0B">
        <w:t>one of the largest business sc</w:t>
      </w:r>
      <w:r w:rsidR="00F8376C" w:rsidRPr="009F4D0B">
        <w:t>hools in Europe</w:t>
      </w:r>
      <w:r w:rsidRPr="009F4D0B">
        <w:t>.</w:t>
      </w:r>
    </w:p>
    <w:p w14:paraId="16EB1AE6" w14:textId="77777777" w:rsidR="0015758C" w:rsidRPr="009F4D0B" w:rsidRDefault="0015758C" w:rsidP="0015758C">
      <w:r w:rsidRPr="009F4D0B">
        <w:t>Since 2000, CBS has been</w:t>
      </w:r>
      <w:r w:rsidR="00A51A3B">
        <w:t xml:space="preserve"> accredited by EQUIS, and </w:t>
      </w:r>
      <w:r w:rsidRPr="009F4D0B">
        <w:t>also by AMBA</w:t>
      </w:r>
      <w:r w:rsidR="00A51A3B">
        <w:t xml:space="preserve"> in 2007</w:t>
      </w:r>
      <w:r w:rsidRPr="009F4D0B">
        <w:t xml:space="preserve">. </w:t>
      </w:r>
      <w:r w:rsidR="00F8376C" w:rsidRPr="009F4D0B">
        <w:t xml:space="preserve"> On </w:t>
      </w:r>
      <w:r w:rsidRPr="009F4D0B">
        <w:t>August 1</w:t>
      </w:r>
      <w:r w:rsidR="004E644C" w:rsidRPr="009F4D0B">
        <w:t>,</w:t>
      </w:r>
      <w:r w:rsidRPr="009F4D0B">
        <w:t xml:space="preserve"> 2011</w:t>
      </w:r>
      <w:r w:rsidR="004E644C" w:rsidRPr="009F4D0B">
        <w:t>,</w:t>
      </w:r>
      <w:r w:rsidRPr="009F4D0B">
        <w:t xml:space="preserve"> CBS </w:t>
      </w:r>
      <w:r w:rsidR="00F8376C" w:rsidRPr="009F4D0B">
        <w:t xml:space="preserve">became the first school in Scandinavia to </w:t>
      </w:r>
      <w:r w:rsidRPr="009F4D0B">
        <w:t>r</w:t>
      </w:r>
      <w:r w:rsidR="00F8376C" w:rsidRPr="009F4D0B">
        <w:t xml:space="preserve">eceive </w:t>
      </w:r>
      <w:r w:rsidR="004E644C" w:rsidRPr="009F4D0B">
        <w:t>an</w:t>
      </w:r>
      <w:r w:rsidR="00F8376C" w:rsidRPr="009F4D0B">
        <w:t xml:space="preserve"> accreditation by AACSB</w:t>
      </w:r>
      <w:r w:rsidRPr="009F4D0B">
        <w:t>. CBS has th</w:t>
      </w:r>
      <w:r w:rsidR="00F8376C" w:rsidRPr="009F4D0B">
        <w:t>us acquired “The Triple Crown</w:t>
      </w:r>
      <w:r w:rsidR="004E644C" w:rsidRPr="009F4D0B">
        <w:t>,</w:t>
      </w:r>
      <w:r w:rsidR="00F8376C" w:rsidRPr="009F4D0B">
        <w:t xml:space="preserve">” </w:t>
      </w:r>
      <w:r w:rsidRPr="009F4D0B">
        <w:t xml:space="preserve">an acknowledgement only shared by around 50 business schools worldwide. These schools </w:t>
      </w:r>
      <w:r w:rsidR="004E644C" w:rsidRPr="009F4D0B">
        <w:t>are reputed as</w:t>
      </w:r>
      <w:r w:rsidRPr="009F4D0B">
        <w:t xml:space="preserve"> the absolute top business schools and include schools such as INSEAD, London Business School, IMD, and Rotterdam School of Management.</w:t>
      </w:r>
    </w:p>
    <w:p w14:paraId="547399E2" w14:textId="77777777" w:rsidR="009F4D0B" w:rsidRPr="009F4D0B" w:rsidRDefault="009F4D0B" w:rsidP="009F4D0B">
      <w:pPr>
        <w:spacing w:after="0" w:line="240" w:lineRule="auto"/>
        <w:rPr>
          <w:rFonts w:eastAsia="Times New Roman" w:cstheme="minorHAnsi"/>
        </w:rPr>
      </w:pPr>
      <w:r w:rsidRPr="1CBAB189">
        <w:t xml:space="preserve">Copenhagen Business School </w:t>
      </w:r>
      <w:r w:rsidRPr="1CBAB189">
        <w:rPr>
          <w:rFonts w:eastAsia="Times New Roman"/>
        </w:rPr>
        <w:t>offers the International Summer University Programme (ISUP) which is one of the world’s largest and oldest six-week summer university program</w:t>
      </w:r>
      <w:r w:rsidR="00E42C28" w:rsidRPr="1CBAB189">
        <w:rPr>
          <w:rFonts w:eastAsia="Times New Roman"/>
        </w:rPr>
        <w:t>. It</w:t>
      </w:r>
      <w:r w:rsidRPr="1CBAB189">
        <w:rPr>
          <w:rFonts w:eastAsia="Times New Roman"/>
        </w:rPr>
        <w:t xml:space="preserve"> offers </w:t>
      </w:r>
      <w:r w:rsidR="00E42C28" w:rsidRPr="1CBAB189">
        <w:rPr>
          <w:rFonts w:eastAsia="Times New Roman"/>
        </w:rPr>
        <w:t>courses</w:t>
      </w:r>
      <w:r w:rsidRPr="1CBAB189">
        <w:rPr>
          <w:rFonts w:eastAsia="Times New Roman"/>
        </w:rPr>
        <w:t xml:space="preserve"> taught by academics with world-class credentials</w:t>
      </w:r>
      <w:r w:rsidR="00E42C28" w:rsidRPr="1CBAB189">
        <w:rPr>
          <w:rFonts w:eastAsia="Times New Roman"/>
        </w:rPr>
        <w:t xml:space="preserve"> in an international environment. </w:t>
      </w:r>
      <w:r w:rsidRPr="1CBAB189">
        <w:rPr>
          <w:rFonts w:eastAsia="Times New Roman"/>
        </w:rPr>
        <w:t>The ISUP draws more than 1</w:t>
      </w:r>
      <w:r w:rsidR="00E42C28" w:rsidRPr="1CBAB189">
        <w:rPr>
          <w:rFonts w:eastAsia="Times New Roman"/>
        </w:rPr>
        <w:t>,</w:t>
      </w:r>
      <w:r w:rsidRPr="1CBAB189">
        <w:rPr>
          <w:rFonts w:eastAsia="Times New Roman"/>
        </w:rPr>
        <w:t>800 participants from more than 50 countries - international exchange students, freemovers, students from CBS and other Danish universities, students taking supplementary courses</w:t>
      </w:r>
      <w:r w:rsidR="00E42C28" w:rsidRPr="1CBAB189">
        <w:rPr>
          <w:rFonts w:eastAsia="Times New Roman"/>
        </w:rPr>
        <w:t>, and</w:t>
      </w:r>
      <w:r w:rsidRPr="1CBAB189">
        <w:rPr>
          <w:rFonts w:eastAsia="Times New Roman"/>
        </w:rPr>
        <w:t xml:space="preserve"> </w:t>
      </w:r>
      <w:r w:rsidR="00E42C28" w:rsidRPr="1CBAB189">
        <w:rPr>
          <w:rFonts w:eastAsia="Times New Roman"/>
        </w:rPr>
        <w:t>also</w:t>
      </w:r>
      <w:r w:rsidRPr="1CBAB189">
        <w:rPr>
          <w:rFonts w:eastAsia="Times New Roman"/>
        </w:rPr>
        <w:t xml:space="preserve"> professionals seeking to further develop t</w:t>
      </w:r>
      <w:r w:rsidR="00E42C28" w:rsidRPr="1CBAB189">
        <w:rPr>
          <w:rFonts w:eastAsia="Times New Roman"/>
        </w:rPr>
        <w:t>heir knowledge and skills. The p</w:t>
      </w:r>
      <w:r w:rsidRPr="1CBAB189">
        <w:rPr>
          <w:rFonts w:eastAsia="Times New Roman"/>
        </w:rPr>
        <w:t>rogram provides participants with an exceptional opportunity to study in a truly international environment and combine high-quality learning with an unforgettable summer experience.</w:t>
      </w:r>
    </w:p>
    <w:p w14:paraId="45BEB578" w14:textId="14BEF082" w:rsidR="1CBAB189" w:rsidRDefault="1CBAB189" w:rsidP="1CBAB189">
      <w:pPr>
        <w:rPr>
          <w:b/>
          <w:bCs/>
          <w:sz w:val="24"/>
          <w:szCs w:val="24"/>
        </w:rPr>
      </w:pPr>
    </w:p>
    <w:p w14:paraId="38F460BF" w14:textId="06B39110" w:rsidR="0078557D" w:rsidRPr="004F6BB5" w:rsidRDefault="0078557D" w:rsidP="0078557D">
      <w:pPr>
        <w:rPr>
          <w:b/>
          <w:sz w:val="24"/>
          <w:szCs w:val="24"/>
        </w:rPr>
      </w:pPr>
      <w:r w:rsidRPr="004F6BB5">
        <w:rPr>
          <w:b/>
          <w:sz w:val="24"/>
          <w:szCs w:val="24"/>
        </w:rPr>
        <w:t>FACILITIES/HOUSING</w:t>
      </w:r>
    </w:p>
    <w:p w14:paraId="12306451" w14:textId="1971DFD7" w:rsidR="0007467E" w:rsidRDefault="0007467E" w:rsidP="0007467E">
      <w:r>
        <w:t>The CBS campus is an urban campus located in Frederiksberg, an integrated part of Copenhagen. The school buildings are modern with state-</w:t>
      </w:r>
      <w:r w:rsidR="28478523">
        <w:t>of-the</w:t>
      </w:r>
      <w:r>
        <w:t>-art facilities.  The campus is connected to the airport and downtown Copenhagen with three on-campus Metro stops.</w:t>
      </w:r>
    </w:p>
    <w:p w14:paraId="42765F0A" w14:textId="39B4385B" w:rsidR="13E4C79A" w:rsidRDefault="13E4C79A">
      <w:r>
        <w:t>CBS will facilitate housing to 6 dorms 10-20 minutes walking distance from the main CBS Campus.</w:t>
      </w:r>
      <w:r w:rsidR="0D8C6A50">
        <w:t xml:space="preserve"> All dorm rooms are fully furnished and have access to wifi. </w:t>
      </w:r>
      <w:r w:rsidR="21F4FF17">
        <w:t xml:space="preserve">Prices range depending on room size and if it is shared. </w:t>
      </w:r>
      <w:r w:rsidR="58E912D1">
        <w:t>The prices are for a 6-week period, but they also offer housing for students taking 3-week courses fo</w:t>
      </w:r>
      <w:r w:rsidR="7671A1F1">
        <w:t>r a month’s rental period.</w:t>
      </w:r>
    </w:p>
    <w:p w14:paraId="7EA8DB17" w14:textId="610EE1BF" w:rsidR="00E808D2" w:rsidRDefault="009F4D0B" w:rsidP="005756E6">
      <w:r>
        <w:t xml:space="preserve">For more information, visit: </w:t>
      </w:r>
      <w:hyperlink r:id="rId10" w:history="1">
        <w:r w:rsidR="00E808D2" w:rsidRPr="00345BF1">
          <w:rPr>
            <w:rStyle w:val="Hyperlink"/>
          </w:rPr>
          <w:t>https://www.cbs.dk/en/study/international-summer-university/accommodation</w:t>
        </w:r>
      </w:hyperlink>
    </w:p>
    <w:p w14:paraId="762BF5EB" w14:textId="28E89BAC" w:rsidR="005756E6" w:rsidRPr="004F6BB5" w:rsidRDefault="009F4D0B" w:rsidP="005756E6">
      <w:pPr>
        <w:rPr>
          <w:b/>
          <w:sz w:val="24"/>
          <w:szCs w:val="24"/>
        </w:rPr>
      </w:pPr>
      <w:r w:rsidRPr="1CBAB189">
        <w:rPr>
          <w:b/>
          <w:bCs/>
          <w:sz w:val="24"/>
          <w:szCs w:val="24"/>
        </w:rPr>
        <w:t>PROGRAMME</w:t>
      </w:r>
      <w:r w:rsidR="00F8376C" w:rsidRPr="1CBAB189">
        <w:rPr>
          <w:b/>
          <w:bCs/>
          <w:sz w:val="24"/>
          <w:szCs w:val="24"/>
        </w:rPr>
        <w:t xml:space="preserve"> DATES</w:t>
      </w:r>
    </w:p>
    <w:p w14:paraId="782EA96F" w14:textId="36C7DC22" w:rsidR="3B38AD4A" w:rsidRDefault="3B38AD4A" w:rsidP="1CBAB189">
      <w:pPr>
        <w:rPr>
          <w:sz w:val="24"/>
          <w:szCs w:val="24"/>
        </w:rPr>
      </w:pPr>
      <w:r w:rsidRPr="1CBAB189">
        <w:rPr>
          <w:sz w:val="24"/>
          <w:szCs w:val="24"/>
        </w:rPr>
        <w:t xml:space="preserve">June 24  – July 26, 2024: </w:t>
      </w:r>
      <w:r>
        <w:tab/>
      </w:r>
      <w:r w:rsidRPr="1CBAB189">
        <w:rPr>
          <w:sz w:val="24"/>
          <w:szCs w:val="24"/>
        </w:rPr>
        <w:t xml:space="preserve">Six-week </w:t>
      </w:r>
      <w:r w:rsidR="1CBD235E" w:rsidRPr="1CBAB189">
        <w:rPr>
          <w:sz w:val="24"/>
          <w:szCs w:val="24"/>
        </w:rPr>
        <w:t xml:space="preserve">program </w:t>
      </w:r>
      <w:r w:rsidRPr="1CBAB189">
        <w:rPr>
          <w:sz w:val="24"/>
          <w:szCs w:val="24"/>
        </w:rPr>
        <w:t>(Exams are done by early August)</w:t>
      </w:r>
      <w:r w:rsidR="02FA5E7D" w:rsidRPr="1CBAB189">
        <w:rPr>
          <w:sz w:val="24"/>
          <w:szCs w:val="24"/>
        </w:rPr>
        <w:t xml:space="preserve">. </w:t>
      </w:r>
    </w:p>
    <w:p w14:paraId="37A63B7E" w14:textId="506B1996" w:rsidR="009F4D0B" w:rsidRDefault="009F4D0B" w:rsidP="1CBAB189">
      <w:pPr>
        <w:rPr>
          <w:b/>
          <w:bCs/>
          <w:sz w:val="24"/>
          <w:szCs w:val="24"/>
        </w:rPr>
      </w:pPr>
      <w:r w:rsidRPr="1CBAB189">
        <w:rPr>
          <w:sz w:val="24"/>
          <w:szCs w:val="24"/>
        </w:rPr>
        <w:t>June</w:t>
      </w:r>
      <w:r w:rsidR="4C8B1848" w:rsidRPr="1CBAB189">
        <w:rPr>
          <w:sz w:val="24"/>
          <w:szCs w:val="24"/>
        </w:rPr>
        <w:t xml:space="preserve"> </w:t>
      </w:r>
      <w:r w:rsidR="607D0EEF" w:rsidRPr="1CBAB189">
        <w:rPr>
          <w:sz w:val="24"/>
          <w:szCs w:val="24"/>
        </w:rPr>
        <w:t xml:space="preserve">24 </w:t>
      </w:r>
      <w:r w:rsidRPr="1CBAB189">
        <w:rPr>
          <w:sz w:val="24"/>
          <w:szCs w:val="24"/>
        </w:rPr>
        <w:t>– July</w:t>
      </w:r>
      <w:r w:rsidR="008B5C86" w:rsidRPr="1CBAB189">
        <w:rPr>
          <w:sz w:val="24"/>
          <w:szCs w:val="24"/>
        </w:rPr>
        <w:t xml:space="preserve"> </w:t>
      </w:r>
      <w:r w:rsidR="336F3E3D" w:rsidRPr="1CBAB189">
        <w:rPr>
          <w:sz w:val="24"/>
          <w:szCs w:val="24"/>
        </w:rPr>
        <w:t xml:space="preserve">11, </w:t>
      </w:r>
      <w:r w:rsidR="2E997BC0" w:rsidRPr="1CBAB189">
        <w:rPr>
          <w:sz w:val="24"/>
          <w:szCs w:val="24"/>
        </w:rPr>
        <w:t>202</w:t>
      </w:r>
      <w:r w:rsidR="721CA541" w:rsidRPr="1CBAB189">
        <w:rPr>
          <w:sz w:val="24"/>
          <w:szCs w:val="24"/>
        </w:rPr>
        <w:t>4</w:t>
      </w:r>
      <w:r w:rsidR="2E997BC0" w:rsidRPr="1CBAB189">
        <w:rPr>
          <w:sz w:val="24"/>
          <w:szCs w:val="24"/>
        </w:rPr>
        <w:t xml:space="preserve">: </w:t>
      </w:r>
      <w:r>
        <w:tab/>
      </w:r>
      <w:r w:rsidR="557FA44D" w:rsidRPr="1CBAB189">
        <w:rPr>
          <w:sz w:val="24"/>
          <w:szCs w:val="24"/>
        </w:rPr>
        <w:t>Intensive t</w:t>
      </w:r>
      <w:r w:rsidR="2E997BC0" w:rsidRPr="1CBAB189">
        <w:rPr>
          <w:sz w:val="24"/>
          <w:szCs w:val="24"/>
        </w:rPr>
        <w:t xml:space="preserve">hree-week </w:t>
      </w:r>
      <w:r w:rsidR="5777D330" w:rsidRPr="1CBAB189">
        <w:rPr>
          <w:sz w:val="24"/>
          <w:szCs w:val="24"/>
        </w:rPr>
        <w:t xml:space="preserve">program </w:t>
      </w:r>
      <w:r w:rsidR="62A34E82" w:rsidRPr="1CBAB189">
        <w:rPr>
          <w:sz w:val="24"/>
          <w:szCs w:val="24"/>
        </w:rPr>
        <w:t xml:space="preserve">(Exams are done by </w:t>
      </w:r>
      <w:r w:rsidR="2A5AF40F" w:rsidRPr="1CBAB189">
        <w:rPr>
          <w:sz w:val="24"/>
          <w:szCs w:val="24"/>
        </w:rPr>
        <w:t>mid-July</w:t>
      </w:r>
      <w:r w:rsidR="62A34E82" w:rsidRPr="1CBAB189">
        <w:rPr>
          <w:sz w:val="24"/>
          <w:szCs w:val="24"/>
        </w:rPr>
        <w:t>)</w:t>
      </w:r>
      <w:r w:rsidR="31E3DA65" w:rsidRPr="1CBAB189">
        <w:rPr>
          <w:sz w:val="24"/>
          <w:szCs w:val="24"/>
        </w:rPr>
        <w:t xml:space="preserve">. </w:t>
      </w:r>
    </w:p>
    <w:p w14:paraId="72409AF8" w14:textId="66552799" w:rsidR="1CBAB189" w:rsidRDefault="1CBAB189" w:rsidP="1CBAB189">
      <w:pPr>
        <w:rPr>
          <w:b/>
          <w:bCs/>
          <w:sz w:val="24"/>
          <w:szCs w:val="24"/>
        </w:rPr>
      </w:pPr>
    </w:p>
    <w:p w14:paraId="3565956A" w14:textId="2C8C4F6E" w:rsidR="4A55BE25" w:rsidRDefault="4A55BE25" w:rsidP="1CBAB189">
      <w:pPr>
        <w:rPr>
          <w:b/>
          <w:bCs/>
          <w:sz w:val="24"/>
          <w:szCs w:val="24"/>
        </w:rPr>
      </w:pPr>
      <w:r w:rsidRPr="1CBAB189">
        <w:rPr>
          <w:b/>
          <w:bCs/>
          <w:sz w:val="24"/>
          <w:szCs w:val="24"/>
        </w:rPr>
        <w:lastRenderedPageBreak/>
        <w:t xml:space="preserve">Welcome Dates: </w:t>
      </w:r>
    </w:p>
    <w:p w14:paraId="0C8D51ED" w14:textId="002457B8" w:rsidR="4A55BE25" w:rsidRDefault="4A55BE25" w:rsidP="1CBAB189">
      <w:pPr>
        <w:spacing w:after="0" w:line="240" w:lineRule="auto"/>
        <w:rPr>
          <w:sz w:val="24"/>
          <w:szCs w:val="24"/>
        </w:rPr>
      </w:pPr>
      <w:r w:rsidRPr="1CBAB189">
        <w:rPr>
          <w:sz w:val="24"/>
          <w:szCs w:val="24"/>
        </w:rPr>
        <w:t>Arrival day</w:t>
      </w:r>
      <w:r w:rsidR="1268576A" w:rsidRPr="1CBAB189">
        <w:rPr>
          <w:sz w:val="24"/>
          <w:szCs w:val="24"/>
        </w:rPr>
        <w:t xml:space="preserve"> &amp; move into CBS accommodation</w:t>
      </w:r>
      <w:r w:rsidRPr="1CBAB189">
        <w:rPr>
          <w:sz w:val="24"/>
          <w:szCs w:val="24"/>
        </w:rPr>
        <w:t>: Jun 21, 2024</w:t>
      </w:r>
    </w:p>
    <w:p w14:paraId="2229C57F" w14:textId="6B7CD877" w:rsidR="4A55BE25" w:rsidRDefault="4A55BE25" w:rsidP="1CBAB189">
      <w:pPr>
        <w:spacing w:after="0" w:line="240" w:lineRule="auto"/>
        <w:rPr>
          <w:sz w:val="24"/>
          <w:szCs w:val="24"/>
        </w:rPr>
      </w:pPr>
      <w:r w:rsidRPr="1CBAB189">
        <w:rPr>
          <w:sz w:val="24"/>
          <w:szCs w:val="24"/>
        </w:rPr>
        <w:t>Welcome meet-up: June 22, 2024</w:t>
      </w:r>
    </w:p>
    <w:p w14:paraId="7408B5CD" w14:textId="4E4B7120" w:rsidR="4A55BE25" w:rsidRDefault="4A55BE25" w:rsidP="1CBAB189">
      <w:pPr>
        <w:spacing w:after="0" w:line="240" w:lineRule="auto"/>
        <w:rPr>
          <w:sz w:val="24"/>
          <w:szCs w:val="24"/>
        </w:rPr>
      </w:pPr>
      <w:r w:rsidRPr="1CBAB189">
        <w:rPr>
          <w:sz w:val="24"/>
          <w:szCs w:val="24"/>
        </w:rPr>
        <w:t>Introductions sections: June 24, 2024</w:t>
      </w:r>
    </w:p>
    <w:p w14:paraId="1AC6C703" w14:textId="38B3D27E" w:rsidR="1CBAB189" w:rsidRDefault="1CBAB189" w:rsidP="1CBAB189">
      <w:pPr>
        <w:rPr>
          <w:b/>
          <w:bCs/>
          <w:sz w:val="24"/>
          <w:szCs w:val="24"/>
        </w:rPr>
      </w:pPr>
    </w:p>
    <w:p w14:paraId="22C8E082" w14:textId="669B8195" w:rsidR="002A2377" w:rsidRDefault="002A2377" w:rsidP="1CBAB189">
      <w:pPr>
        <w:rPr>
          <w:sz w:val="24"/>
          <w:szCs w:val="24"/>
        </w:rPr>
      </w:pPr>
      <w:r w:rsidRPr="1CBAB189">
        <w:rPr>
          <w:b/>
          <w:bCs/>
          <w:sz w:val="24"/>
          <w:szCs w:val="24"/>
        </w:rPr>
        <w:t>WORKLOAD</w:t>
      </w:r>
    </w:p>
    <w:p w14:paraId="77D00F75" w14:textId="34ABD518" w:rsidR="51BA8675" w:rsidRDefault="51BA8675" w:rsidP="1CBAB189">
      <w:pPr>
        <w:rPr>
          <w:sz w:val="24"/>
          <w:szCs w:val="24"/>
        </w:rPr>
      </w:pPr>
      <w:r w:rsidRPr="1CBAB189">
        <w:rPr>
          <w:sz w:val="24"/>
          <w:szCs w:val="24"/>
        </w:rPr>
        <w:t xml:space="preserve">For </w:t>
      </w:r>
      <w:r w:rsidR="36AABB2F" w:rsidRPr="1CBAB189">
        <w:rPr>
          <w:sz w:val="24"/>
          <w:szCs w:val="24"/>
        </w:rPr>
        <w:t xml:space="preserve">the </w:t>
      </w:r>
      <w:r w:rsidRPr="1CBAB189">
        <w:rPr>
          <w:b/>
          <w:bCs/>
          <w:sz w:val="24"/>
          <w:szCs w:val="24"/>
        </w:rPr>
        <w:t>six</w:t>
      </w:r>
      <w:r w:rsidR="0B92F85C" w:rsidRPr="1CBAB189">
        <w:rPr>
          <w:b/>
          <w:bCs/>
          <w:sz w:val="24"/>
          <w:szCs w:val="24"/>
        </w:rPr>
        <w:t>-week program</w:t>
      </w:r>
      <w:r w:rsidR="0B92F85C" w:rsidRPr="1CBAB189">
        <w:rPr>
          <w:sz w:val="24"/>
          <w:szCs w:val="24"/>
        </w:rPr>
        <w:t xml:space="preserve">, you can take up to </w:t>
      </w:r>
      <w:r w:rsidR="0B92F85C" w:rsidRPr="1CBAB189">
        <w:rPr>
          <w:b/>
          <w:bCs/>
          <w:sz w:val="24"/>
          <w:szCs w:val="24"/>
        </w:rPr>
        <w:t>two courses</w:t>
      </w:r>
      <w:r w:rsidR="0B92F85C" w:rsidRPr="1CBAB189">
        <w:rPr>
          <w:sz w:val="24"/>
          <w:szCs w:val="24"/>
        </w:rPr>
        <w:t xml:space="preserve"> of 7.5 ETCS each</w:t>
      </w:r>
      <w:r w:rsidR="5145688D" w:rsidRPr="1CBAB189">
        <w:rPr>
          <w:sz w:val="24"/>
          <w:szCs w:val="24"/>
        </w:rPr>
        <w:t xml:space="preserve">, for a total of 15 ETCS. For the </w:t>
      </w:r>
      <w:r w:rsidR="5145688D" w:rsidRPr="1CBAB189">
        <w:rPr>
          <w:b/>
          <w:bCs/>
          <w:sz w:val="24"/>
          <w:szCs w:val="24"/>
        </w:rPr>
        <w:t>three-week program</w:t>
      </w:r>
      <w:r w:rsidR="5145688D" w:rsidRPr="1CBAB189">
        <w:rPr>
          <w:sz w:val="24"/>
          <w:szCs w:val="24"/>
        </w:rPr>
        <w:t xml:space="preserve">, you </w:t>
      </w:r>
      <w:r w:rsidR="5145688D" w:rsidRPr="1CBAB189">
        <w:rPr>
          <w:b/>
          <w:bCs/>
          <w:sz w:val="24"/>
          <w:szCs w:val="24"/>
        </w:rPr>
        <w:t>can take only one 7.5 ETCS course</w:t>
      </w:r>
      <w:r w:rsidR="5145688D" w:rsidRPr="1CBAB189">
        <w:rPr>
          <w:sz w:val="24"/>
          <w:szCs w:val="24"/>
        </w:rPr>
        <w:t>.</w:t>
      </w:r>
    </w:p>
    <w:p w14:paraId="371876FA" w14:textId="171F8F36" w:rsidR="0078557D" w:rsidRPr="004F6BB5" w:rsidRDefault="004F6BB5" w:rsidP="0078557D">
      <w:pPr>
        <w:rPr>
          <w:b/>
          <w:sz w:val="24"/>
          <w:szCs w:val="24"/>
        </w:rPr>
      </w:pPr>
      <w:r w:rsidRPr="004F6BB5">
        <w:rPr>
          <w:b/>
          <w:sz w:val="24"/>
          <w:szCs w:val="24"/>
        </w:rPr>
        <w:t xml:space="preserve">UNIT VALUE AND CONVERSION </w:t>
      </w:r>
    </w:p>
    <w:p w14:paraId="40991449" w14:textId="62AB9EEF" w:rsidR="00800099" w:rsidRPr="00097E99" w:rsidRDefault="00BF3DC6" w:rsidP="00097E99">
      <w:pPr>
        <w:rPr>
          <w:sz w:val="24"/>
          <w:szCs w:val="24"/>
        </w:rPr>
      </w:pPr>
      <w:r w:rsidRPr="00097E99">
        <w:rPr>
          <w:sz w:val="24"/>
          <w:szCs w:val="24"/>
        </w:rPr>
        <w:t>Minimum</w:t>
      </w:r>
      <w:r w:rsidR="00097E99">
        <w:rPr>
          <w:sz w:val="24"/>
          <w:szCs w:val="24"/>
        </w:rPr>
        <w:t xml:space="preserve"> Units</w:t>
      </w:r>
      <w:r w:rsidRPr="00097E99">
        <w:rPr>
          <w:sz w:val="24"/>
          <w:szCs w:val="24"/>
        </w:rPr>
        <w:t xml:space="preserve">: </w:t>
      </w:r>
      <w:r w:rsidR="00800099" w:rsidRPr="00097E99">
        <w:rPr>
          <w:sz w:val="24"/>
          <w:szCs w:val="24"/>
        </w:rPr>
        <w:t xml:space="preserve">1 Course (7.5 ECTS) = 3.5 USC units </w:t>
      </w:r>
    </w:p>
    <w:p w14:paraId="4BAC0897" w14:textId="7AAC5EB3" w:rsidR="00800099" w:rsidRPr="00097E99" w:rsidRDefault="00BF3DC6" w:rsidP="00097E99">
      <w:pPr>
        <w:rPr>
          <w:sz w:val="24"/>
          <w:szCs w:val="24"/>
        </w:rPr>
      </w:pPr>
      <w:r w:rsidRPr="00097E99">
        <w:rPr>
          <w:sz w:val="24"/>
          <w:szCs w:val="24"/>
        </w:rPr>
        <w:t>Maximum</w:t>
      </w:r>
      <w:r w:rsidR="00097E99">
        <w:rPr>
          <w:sz w:val="24"/>
          <w:szCs w:val="24"/>
        </w:rPr>
        <w:t xml:space="preserve"> Units</w:t>
      </w:r>
      <w:r w:rsidRPr="00097E99">
        <w:rPr>
          <w:sz w:val="24"/>
          <w:szCs w:val="24"/>
        </w:rPr>
        <w:t xml:space="preserve">: </w:t>
      </w:r>
      <w:r w:rsidR="00974080" w:rsidRPr="00097E99">
        <w:rPr>
          <w:sz w:val="24"/>
          <w:szCs w:val="24"/>
        </w:rPr>
        <w:t xml:space="preserve">2 </w:t>
      </w:r>
      <w:r w:rsidR="00800099" w:rsidRPr="00097E99">
        <w:rPr>
          <w:sz w:val="24"/>
          <w:szCs w:val="24"/>
        </w:rPr>
        <w:t xml:space="preserve">Courses (15 ECTS) = 7 USC units </w:t>
      </w:r>
    </w:p>
    <w:p w14:paraId="3CB24465" w14:textId="456D66EA" w:rsidR="001362C6" w:rsidRPr="009F0783" w:rsidRDefault="009F0783" w:rsidP="00974080">
      <w:pPr>
        <w:rPr>
          <w:sz w:val="24"/>
          <w:szCs w:val="24"/>
        </w:rPr>
      </w:pPr>
      <w:r w:rsidRPr="1CBAB189">
        <w:rPr>
          <w:b/>
          <w:bCs/>
          <w:sz w:val="24"/>
          <w:szCs w:val="24"/>
        </w:rPr>
        <w:t>MINIMUM PASSING GRADE REQUIREMENT TO OBTAIN USC CREDITS</w:t>
      </w:r>
      <w:r>
        <w:br/>
      </w:r>
      <w:r w:rsidRPr="1CBAB189">
        <w:rPr>
          <w:sz w:val="24"/>
          <w:szCs w:val="24"/>
        </w:rPr>
        <w:t>7 or better</w:t>
      </w:r>
    </w:p>
    <w:p w14:paraId="3BD6BD14" w14:textId="7EEDC850" w:rsidR="1CBAB189" w:rsidRDefault="1CBAB189" w:rsidP="1CBAB189">
      <w:pPr>
        <w:rPr>
          <w:b/>
          <w:bCs/>
          <w:sz w:val="24"/>
          <w:szCs w:val="24"/>
        </w:rPr>
      </w:pPr>
    </w:p>
    <w:p w14:paraId="79D05026" w14:textId="348CCB1D" w:rsidR="1CBAB189" w:rsidRDefault="1CBAB189" w:rsidP="1CBAB189">
      <w:pPr>
        <w:rPr>
          <w:b/>
          <w:bCs/>
          <w:sz w:val="24"/>
          <w:szCs w:val="24"/>
        </w:rPr>
      </w:pPr>
    </w:p>
    <w:p w14:paraId="1CBA21E6" w14:textId="714DD192" w:rsidR="1CBAB189" w:rsidRDefault="1CBAB189" w:rsidP="1CBAB189">
      <w:pPr>
        <w:rPr>
          <w:b/>
          <w:bCs/>
          <w:sz w:val="24"/>
          <w:szCs w:val="24"/>
        </w:rPr>
      </w:pPr>
    </w:p>
    <w:p w14:paraId="6CAE7822" w14:textId="5CE18773" w:rsidR="1CBAB189" w:rsidRDefault="1CBAB189" w:rsidP="1CBAB189">
      <w:pPr>
        <w:rPr>
          <w:b/>
          <w:bCs/>
          <w:sz w:val="24"/>
          <w:szCs w:val="24"/>
        </w:rPr>
      </w:pPr>
    </w:p>
    <w:p w14:paraId="0D935FF4" w14:textId="603BB876" w:rsidR="1CBAB189" w:rsidRDefault="1CBAB189" w:rsidP="1CBAB189">
      <w:pPr>
        <w:rPr>
          <w:b/>
          <w:bCs/>
          <w:sz w:val="24"/>
          <w:szCs w:val="24"/>
        </w:rPr>
      </w:pPr>
    </w:p>
    <w:p w14:paraId="0039B6AD" w14:textId="21A86FA7" w:rsidR="1CBAB189" w:rsidRDefault="1CBAB189" w:rsidP="1CBAB189">
      <w:pPr>
        <w:rPr>
          <w:b/>
          <w:bCs/>
          <w:sz w:val="24"/>
          <w:szCs w:val="24"/>
        </w:rPr>
      </w:pPr>
    </w:p>
    <w:p w14:paraId="0BEC2A5B" w14:textId="69859673" w:rsidR="1CBAB189" w:rsidRDefault="1CBAB189" w:rsidP="1CBAB189">
      <w:pPr>
        <w:rPr>
          <w:b/>
          <w:bCs/>
          <w:sz w:val="24"/>
          <w:szCs w:val="24"/>
        </w:rPr>
      </w:pPr>
    </w:p>
    <w:p w14:paraId="3D76F3D9" w14:textId="4AA91A3F" w:rsidR="1CBAB189" w:rsidRDefault="1CBAB189" w:rsidP="1CBAB189">
      <w:pPr>
        <w:rPr>
          <w:b/>
          <w:bCs/>
          <w:sz w:val="24"/>
          <w:szCs w:val="24"/>
        </w:rPr>
      </w:pPr>
    </w:p>
    <w:p w14:paraId="4DD7ED78" w14:textId="2729CAC9" w:rsidR="1CBAB189" w:rsidRDefault="1CBAB189" w:rsidP="1CBAB189">
      <w:pPr>
        <w:rPr>
          <w:b/>
          <w:bCs/>
          <w:sz w:val="24"/>
          <w:szCs w:val="24"/>
        </w:rPr>
      </w:pPr>
    </w:p>
    <w:p w14:paraId="34E16BEC" w14:textId="67AD2CFB" w:rsidR="1CBAB189" w:rsidRDefault="1CBAB189" w:rsidP="1CBAB189">
      <w:pPr>
        <w:rPr>
          <w:b/>
          <w:bCs/>
          <w:sz w:val="24"/>
          <w:szCs w:val="24"/>
        </w:rPr>
      </w:pPr>
    </w:p>
    <w:p w14:paraId="45D453BF" w14:textId="79A6DB71" w:rsidR="1CBAB189" w:rsidRDefault="1CBAB189" w:rsidP="1CBAB189">
      <w:pPr>
        <w:rPr>
          <w:b/>
          <w:bCs/>
          <w:sz w:val="24"/>
          <w:szCs w:val="24"/>
        </w:rPr>
      </w:pPr>
    </w:p>
    <w:p w14:paraId="7C44F4C0" w14:textId="1EBF1738" w:rsidR="1CBAB189" w:rsidRDefault="1CBAB189" w:rsidP="1CBAB189">
      <w:pPr>
        <w:rPr>
          <w:b/>
          <w:bCs/>
          <w:sz w:val="24"/>
          <w:szCs w:val="24"/>
        </w:rPr>
      </w:pPr>
    </w:p>
    <w:p w14:paraId="165A3DE2" w14:textId="3BD59B6E" w:rsidR="1CBAB189" w:rsidRDefault="1CBAB189" w:rsidP="1CBAB189">
      <w:pPr>
        <w:rPr>
          <w:b/>
          <w:bCs/>
          <w:sz w:val="24"/>
          <w:szCs w:val="24"/>
        </w:rPr>
      </w:pPr>
    </w:p>
    <w:p w14:paraId="5A665103" w14:textId="77777777" w:rsidR="001362C6" w:rsidRDefault="00974080" w:rsidP="00974080">
      <w:pPr>
        <w:rPr>
          <w:b/>
          <w:sz w:val="24"/>
          <w:szCs w:val="24"/>
        </w:rPr>
      </w:pPr>
      <w:r w:rsidRPr="004F6BB5">
        <w:rPr>
          <w:b/>
          <w:sz w:val="24"/>
          <w:szCs w:val="24"/>
        </w:rPr>
        <w:lastRenderedPageBreak/>
        <w:t>ESTIMATED COSTS</w:t>
      </w:r>
    </w:p>
    <w:p w14:paraId="223EBD4E" w14:textId="77777777" w:rsidR="001362C6" w:rsidRPr="001362C6" w:rsidRDefault="001362C6" w:rsidP="00974080">
      <w:pPr>
        <w:rPr>
          <w:b/>
          <w:sz w:val="24"/>
          <w:szCs w:val="24"/>
        </w:rPr>
      </w:pPr>
      <w:r w:rsidRPr="001362C6">
        <w:rPr>
          <w:sz w:val="24"/>
          <w:szCs w:val="24"/>
        </w:rPr>
        <w:t>This is an estimated student budget</w:t>
      </w:r>
      <w:r w:rsidR="004E644C">
        <w:rPr>
          <w:sz w:val="24"/>
          <w:szCs w:val="24"/>
        </w:rPr>
        <w:t>,</w:t>
      </w:r>
      <w:r w:rsidRPr="001362C6">
        <w:rPr>
          <w:sz w:val="24"/>
          <w:szCs w:val="24"/>
        </w:rPr>
        <w:t xml:space="preserve"> and all costs are subject to change without notice.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5"/>
        <w:gridCol w:w="2865"/>
      </w:tblGrid>
      <w:tr w:rsidR="009F0783" w:rsidRPr="009F0783" w14:paraId="74A742AC" w14:textId="77777777" w:rsidTr="1CBAB189">
        <w:trPr>
          <w:trHeight w:val="280"/>
        </w:trPr>
        <w:tc>
          <w:tcPr>
            <w:tcW w:w="9330" w:type="dxa"/>
            <w:gridSpan w:val="2"/>
            <w:hideMark/>
          </w:tcPr>
          <w:p w14:paraId="1D4ED753" w14:textId="77777777" w:rsidR="009F0783" w:rsidRPr="009F0783" w:rsidRDefault="009F0783" w:rsidP="00A65989">
            <w:pPr>
              <w:jc w:val="center"/>
              <w:rPr>
                <w:b/>
                <w:bCs/>
                <w:sz w:val="24"/>
                <w:szCs w:val="24"/>
              </w:rPr>
            </w:pPr>
            <w:r w:rsidRPr="009F0783">
              <w:rPr>
                <w:b/>
                <w:bCs/>
                <w:sz w:val="24"/>
                <w:szCs w:val="24"/>
              </w:rPr>
              <w:t>Copenhagen Business School</w:t>
            </w:r>
            <w:r w:rsidRPr="009F0783">
              <w:rPr>
                <w:b/>
                <w:bCs/>
                <w:sz w:val="24"/>
                <w:szCs w:val="24"/>
              </w:rPr>
              <w:br/>
              <w:t>Copenhagen, Denmark</w:t>
            </w:r>
          </w:p>
        </w:tc>
      </w:tr>
      <w:tr w:rsidR="009F0783" w:rsidRPr="009F0783" w14:paraId="085AEC62" w14:textId="77777777" w:rsidTr="1CBAB189">
        <w:trPr>
          <w:trHeight w:val="280"/>
        </w:trPr>
        <w:tc>
          <w:tcPr>
            <w:tcW w:w="9330" w:type="dxa"/>
            <w:gridSpan w:val="2"/>
            <w:hideMark/>
          </w:tcPr>
          <w:p w14:paraId="4FB5B12D" w14:textId="77777777" w:rsidR="009F0783" w:rsidRPr="009F0783" w:rsidRDefault="009F0783" w:rsidP="00A65989">
            <w:pPr>
              <w:jc w:val="center"/>
              <w:rPr>
                <w:b/>
                <w:bCs/>
                <w:sz w:val="24"/>
                <w:szCs w:val="24"/>
              </w:rPr>
            </w:pPr>
            <w:r w:rsidRPr="009F0783">
              <w:rPr>
                <w:b/>
                <w:bCs/>
                <w:sz w:val="24"/>
                <w:szCs w:val="24"/>
              </w:rPr>
              <w:t>International Summer University</w:t>
            </w:r>
          </w:p>
        </w:tc>
      </w:tr>
      <w:tr w:rsidR="009F0783" w:rsidRPr="009F0783" w14:paraId="662F4900" w14:textId="77777777" w:rsidTr="1CBAB189">
        <w:trPr>
          <w:trHeight w:val="280"/>
        </w:trPr>
        <w:tc>
          <w:tcPr>
            <w:tcW w:w="6465" w:type="dxa"/>
            <w:noWrap/>
            <w:hideMark/>
          </w:tcPr>
          <w:p w14:paraId="232B27B2" w14:textId="77777777" w:rsidR="009F0783" w:rsidRPr="009F0783" w:rsidRDefault="009F0783">
            <w:pPr>
              <w:rPr>
                <w:b/>
                <w:bCs/>
                <w:sz w:val="24"/>
                <w:szCs w:val="24"/>
              </w:rPr>
            </w:pPr>
            <w:r w:rsidRPr="009F0783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865" w:type="dxa"/>
            <w:noWrap/>
            <w:hideMark/>
          </w:tcPr>
          <w:p w14:paraId="499EA511" w14:textId="7715B722" w:rsidR="009F0783" w:rsidRPr="009F0783" w:rsidRDefault="00A65989" w:rsidP="009F0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Estimated Amount</w:t>
            </w:r>
            <w:r w:rsidR="009F0783" w:rsidRPr="009F0783">
              <w:rPr>
                <w:b/>
                <w:bCs/>
                <w:sz w:val="24"/>
                <w:szCs w:val="24"/>
              </w:rPr>
              <w:t xml:space="preserve"> in US Dollars </w:t>
            </w:r>
          </w:p>
        </w:tc>
      </w:tr>
      <w:tr w:rsidR="00235400" w:rsidRPr="009F0783" w14:paraId="50A278C3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3F107E4F" w14:textId="2A55FEA4" w:rsidR="00235400" w:rsidRPr="009F0783" w:rsidRDefault="6C7EA906" w:rsidP="078EAC63">
            <w:pPr>
              <w:rPr>
                <w:rFonts w:ascii="Calibri" w:hAnsi="Calibri" w:cs="Calibri"/>
                <w:color w:val="000000" w:themeColor="text1"/>
              </w:rPr>
            </w:pPr>
            <w:r w:rsidRPr="1CBAB189">
              <w:rPr>
                <w:rFonts w:ascii="Calibri" w:hAnsi="Calibri" w:cs="Calibri"/>
                <w:color w:val="000000" w:themeColor="text1"/>
              </w:rPr>
              <w:t>USC MBA Tuition Rate (Maximum 7 units</w:t>
            </w:r>
            <w:r w:rsidR="1E9CABF6" w:rsidRPr="1CBAB18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1CBAB189">
              <w:rPr>
                <w:rFonts w:ascii="Calibri" w:hAnsi="Calibri" w:cs="Calibri"/>
                <w:color w:val="000000" w:themeColor="text1"/>
              </w:rPr>
              <w:t>x</w:t>
            </w:r>
            <w:r w:rsidR="7A36F07B" w:rsidRPr="1CBAB18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1CBAB189">
              <w:rPr>
                <w:rFonts w:ascii="Calibri" w:hAnsi="Calibri" w:cs="Calibri"/>
                <w:color w:val="000000" w:themeColor="text1"/>
              </w:rPr>
              <w:t>$2</w:t>
            </w:r>
            <w:r w:rsidR="226B3DBE" w:rsidRPr="1CBAB189">
              <w:rPr>
                <w:rFonts w:ascii="Calibri" w:hAnsi="Calibri" w:cs="Calibri"/>
                <w:color w:val="000000" w:themeColor="text1"/>
              </w:rPr>
              <w:t>307</w:t>
            </w:r>
            <w:r w:rsidR="00FEF89B" w:rsidRPr="1CBAB189">
              <w:rPr>
                <w:rFonts w:ascii="Calibri" w:hAnsi="Calibri" w:cs="Calibri"/>
                <w:color w:val="000000" w:themeColor="text1"/>
              </w:rPr>
              <w:t>*</w:t>
            </w:r>
            <w:r w:rsidRPr="1CBAB189">
              <w:rPr>
                <w:rFonts w:ascii="Calibri" w:hAnsi="Calibri" w:cs="Calibri"/>
                <w:color w:val="000000" w:themeColor="text1"/>
              </w:rPr>
              <w:t xml:space="preserve"> per unit) </w:t>
            </w:r>
          </w:p>
        </w:tc>
        <w:tc>
          <w:tcPr>
            <w:tcW w:w="2865" w:type="dxa"/>
            <w:noWrap/>
            <w:vAlign w:val="center"/>
            <w:hideMark/>
          </w:tcPr>
          <w:p w14:paraId="76CA7975" w14:textId="4172C231" w:rsidR="00235400" w:rsidRPr="009F0783" w:rsidRDefault="283FBAA1" w:rsidP="00235400">
            <w:pPr>
              <w:jc w:val="right"/>
              <w:rPr>
                <w:sz w:val="24"/>
                <w:szCs w:val="24"/>
              </w:rPr>
            </w:pPr>
            <w:r w:rsidRPr="078EAC63">
              <w:rPr>
                <w:rFonts w:ascii="Calibri" w:hAnsi="Calibri" w:cs="Calibri"/>
                <w:color w:val="000000" w:themeColor="text1"/>
              </w:rPr>
              <w:t>$1</w:t>
            </w:r>
            <w:r w:rsidR="0040E0C4" w:rsidRPr="078EAC63">
              <w:rPr>
                <w:rFonts w:ascii="Calibri" w:hAnsi="Calibri" w:cs="Calibri"/>
                <w:color w:val="000000" w:themeColor="text1"/>
              </w:rPr>
              <w:t>6</w:t>
            </w:r>
            <w:r w:rsidRPr="078EAC63">
              <w:rPr>
                <w:rFonts w:ascii="Calibri" w:hAnsi="Calibri" w:cs="Calibri"/>
                <w:color w:val="000000" w:themeColor="text1"/>
              </w:rPr>
              <w:t>,</w:t>
            </w:r>
            <w:r w:rsidR="50E00211" w:rsidRPr="078EAC63">
              <w:rPr>
                <w:rFonts w:ascii="Calibri" w:hAnsi="Calibri" w:cs="Calibri"/>
                <w:color w:val="000000" w:themeColor="text1"/>
              </w:rPr>
              <w:t>14</w:t>
            </w:r>
            <w:r w:rsidRPr="078EAC63">
              <w:rPr>
                <w:rFonts w:ascii="Calibri" w:hAnsi="Calibri" w:cs="Calibri"/>
                <w:color w:val="000000" w:themeColor="text1"/>
              </w:rPr>
              <w:t xml:space="preserve">9.00 </w:t>
            </w:r>
          </w:p>
        </w:tc>
      </w:tr>
      <w:tr w:rsidR="00235400" w:rsidRPr="009F0783" w14:paraId="0857D4A6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03FFA30A" w14:textId="4CC78591" w:rsidR="00235400" w:rsidRPr="009F0783" w:rsidRDefault="00235400" w:rsidP="0023540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 Registration Fee</w:t>
            </w:r>
          </w:p>
        </w:tc>
        <w:tc>
          <w:tcPr>
            <w:tcW w:w="2865" w:type="dxa"/>
            <w:noWrap/>
            <w:vAlign w:val="center"/>
            <w:hideMark/>
          </w:tcPr>
          <w:p w14:paraId="011E7414" w14:textId="6C552A08" w:rsidR="00235400" w:rsidRPr="009F0783" w:rsidRDefault="00235400" w:rsidP="0023540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$2,000.00 </w:t>
            </w:r>
          </w:p>
        </w:tc>
      </w:tr>
      <w:tr w:rsidR="00235400" w:rsidRPr="009F0783" w14:paraId="2BA353C9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2C858C52" w14:textId="4F32CA5A" w:rsidR="00235400" w:rsidRPr="009F0783" w:rsidRDefault="00235400" w:rsidP="0023540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Room and Board </w:t>
            </w:r>
          </w:p>
        </w:tc>
        <w:tc>
          <w:tcPr>
            <w:tcW w:w="2865" w:type="dxa"/>
            <w:noWrap/>
            <w:vAlign w:val="center"/>
            <w:hideMark/>
          </w:tcPr>
          <w:p w14:paraId="1A64E49E" w14:textId="3EA4A686" w:rsidR="00235400" w:rsidRPr="009F0783" w:rsidRDefault="00235400" w:rsidP="0023540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$3,500.00 </w:t>
            </w:r>
          </w:p>
        </w:tc>
      </w:tr>
      <w:tr w:rsidR="00235400" w:rsidRPr="009F0783" w14:paraId="56C37F9D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33D201B3" w14:textId="6E5CCD39" w:rsidR="00235400" w:rsidRPr="009F0783" w:rsidRDefault="00235400" w:rsidP="0023540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Food</w:t>
            </w:r>
          </w:p>
        </w:tc>
        <w:tc>
          <w:tcPr>
            <w:tcW w:w="2865" w:type="dxa"/>
            <w:noWrap/>
            <w:vAlign w:val="center"/>
            <w:hideMark/>
          </w:tcPr>
          <w:p w14:paraId="1A9810A6" w14:textId="3F61CE16" w:rsidR="00235400" w:rsidRPr="009F0783" w:rsidRDefault="00235400" w:rsidP="0023540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$800.00 </w:t>
            </w:r>
          </w:p>
        </w:tc>
      </w:tr>
      <w:tr w:rsidR="00235400" w:rsidRPr="009F0783" w14:paraId="550761E6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2503A149" w14:textId="01B65D0E" w:rsidR="00235400" w:rsidRPr="009F0783" w:rsidRDefault="00235400" w:rsidP="0023540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Books and Supplies</w:t>
            </w:r>
          </w:p>
        </w:tc>
        <w:tc>
          <w:tcPr>
            <w:tcW w:w="2865" w:type="dxa"/>
            <w:noWrap/>
            <w:vAlign w:val="center"/>
            <w:hideMark/>
          </w:tcPr>
          <w:p w14:paraId="174F3740" w14:textId="6679360B" w:rsidR="00235400" w:rsidRPr="009F0783" w:rsidRDefault="00235400" w:rsidP="00235400">
            <w:pPr>
              <w:jc w:val="right"/>
              <w:rPr>
                <w:sz w:val="24"/>
                <w:szCs w:val="24"/>
              </w:rPr>
            </w:pPr>
            <w:r w:rsidRPr="42BA261F">
              <w:rPr>
                <w:rFonts w:ascii="Calibri" w:hAnsi="Calibri" w:cs="Calibri"/>
                <w:color w:val="000000" w:themeColor="text1"/>
              </w:rPr>
              <w:t>$1,</w:t>
            </w:r>
            <w:r w:rsidR="2CCE411A" w:rsidRPr="42BA261F">
              <w:rPr>
                <w:rFonts w:ascii="Calibri" w:hAnsi="Calibri" w:cs="Calibri"/>
                <w:color w:val="000000" w:themeColor="text1"/>
              </w:rPr>
              <w:t>0</w:t>
            </w:r>
            <w:r w:rsidRPr="42BA261F">
              <w:rPr>
                <w:rFonts w:ascii="Calibri" w:hAnsi="Calibri" w:cs="Calibri"/>
                <w:color w:val="000000" w:themeColor="text1"/>
              </w:rPr>
              <w:t xml:space="preserve">00.00 </w:t>
            </w:r>
          </w:p>
        </w:tc>
      </w:tr>
      <w:tr w:rsidR="00235400" w:rsidRPr="009F0783" w14:paraId="362EB479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1743919E" w14:textId="12934ECB" w:rsidR="00235400" w:rsidRPr="009F0783" w:rsidRDefault="00235400" w:rsidP="0023540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Airfare</w:t>
            </w:r>
          </w:p>
        </w:tc>
        <w:tc>
          <w:tcPr>
            <w:tcW w:w="2865" w:type="dxa"/>
            <w:noWrap/>
            <w:vAlign w:val="center"/>
            <w:hideMark/>
          </w:tcPr>
          <w:p w14:paraId="163624CE" w14:textId="69EDEDFD" w:rsidR="00235400" w:rsidRPr="009F0783" w:rsidRDefault="00235400" w:rsidP="0023540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$1,500.00 </w:t>
            </w:r>
          </w:p>
        </w:tc>
      </w:tr>
      <w:tr w:rsidR="00235400" w:rsidRPr="009F0783" w14:paraId="1A4C317D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38CE644B" w14:textId="2D8255D8" w:rsidR="00235400" w:rsidRPr="009F0783" w:rsidRDefault="00235400" w:rsidP="0023540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Local Transportation</w:t>
            </w:r>
          </w:p>
        </w:tc>
        <w:tc>
          <w:tcPr>
            <w:tcW w:w="2865" w:type="dxa"/>
            <w:noWrap/>
            <w:vAlign w:val="center"/>
            <w:hideMark/>
          </w:tcPr>
          <w:p w14:paraId="60EA5F05" w14:textId="0E3F70A5" w:rsidR="00235400" w:rsidRPr="009F0783" w:rsidRDefault="00235400" w:rsidP="0023540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$700.00 </w:t>
            </w:r>
          </w:p>
        </w:tc>
      </w:tr>
      <w:tr w:rsidR="00235400" w:rsidRPr="009F0783" w14:paraId="63642353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781346BF" w14:textId="1B5CA3CE" w:rsidR="00235400" w:rsidRPr="009F0783" w:rsidRDefault="00235400" w:rsidP="0023540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Insurance at Host Institute </w:t>
            </w:r>
          </w:p>
        </w:tc>
        <w:tc>
          <w:tcPr>
            <w:tcW w:w="2865" w:type="dxa"/>
            <w:noWrap/>
            <w:vAlign w:val="center"/>
            <w:hideMark/>
          </w:tcPr>
          <w:p w14:paraId="168E1263" w14:textId="6FD6C648" w:rsidR="00235400" w:rsidRPr="009F0783" w:rsidRDefault="00235400" w:rsidP="0023540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$0.00 </w:t>
            </w:r>
          </w:p>
        </w:tc>
      </w:tr>
      <w:tr w:rsidR="00235400" w:rsidRPr="009F0783" w14:paraId="03A74FCC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13AC0C4F" w14:textId="3082906D" w:rsidR="00235400" w:rsidRPr="009F0783" w:rsidRDefault="6C7EA906" w:rsidP="1CBAB189">
            <w:pPr>
              <w:rPr>
                <w:sz w:val="24"/>
                <w:szCs w:val="24"/>
              </w:rPr>
            </w:pPr>
            <w:r w:rsidRPr="1CBAB189">
              <w:rPr>
                <w:rFonts w:ascii="Calibri" w:hAnsi="Calibri" w:cs="Calibri"/>
                <w:color w:val="000000" w:themeColor="text1"/>
              </w:rPr>
              <w:t>USC Health Insurance</w:t>
            </w:r>
            <w:r w:rsidR="6F193BDE" w:rsidRPr="1CBAB189">
              <w:rPr>
                <w:rFonts w:ascii="Calibri" w:hAnsi="Calibri" w:cs="Calibri"/>
                <w:color w:val="000000" w:themeColor="text1"/>
              </w:rPr>
              <w:t>*</w:t>
            </w:r>
          </w:p>
        </w:tc>
        <w:tc>
          <w:tcPr>
            <w:tcW w:w="2865" w:type="dxa"/>
            <w:noWrap/>
            <w:vAlign w:val="center"/>
            <w:hideMark/>
          </w:tcPr>
          <w:p w14:paraId="4A60EE6B" w14:textId="4D66C43F" w:rsidR="00235400" w:rsidRPr="009F0783" w:rsidRDefault="6C7EA906" w:rsidP="1CBAB18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1CBAB189">
              <w:rPr>
                <w:rFonts w:ascii="Calibri" w:hAnsi="Calibri" w:cs="Calibri"/>
                <w:color w:val="000000" w:themeColor="text1"/>
              </w:rPr>
              <w:t>$</w:t>
            </w:r>
            <w:r w:rsidR="4D4823B3" w:rsidRPr="1CBAB189">
              <w:rPr>
                <w:rFonts w:ascii="Calibri" w:hAnsi="Calibri" w:cs="Calibri"/>
                <w:color w:val="000000" w:themeColor="text1"/>
              </w:rPr>
              <w:t>1,75</w:t>
            </w:r>
            <w:r w:rsidR="5954EE68" w:rsidRPr="1CBAB189">
              <w:rPr>
                <w:rFonts w:ascii="Calibri" w:hAnsi="Calibri" w:cs="Calibri"/>
                <w:color w:val="000000" w:themeColor="text1"/>
              </w:rPr>
              <w:t>4</w:t>
            </w:r>
            <w:r w:rsidRPr="1CBAB189">
              <w:rPr>
                <w:rFonts w:ascii="Calibri" w:hAnsi="Calibri" w:cs="Calibri"/>
                <w:color w:val="000000" w:themeColor="text1"/>
              </w:rPr>
              <w:t xml:space="preserve">.00 </w:t>
            </w:r>
          </w:p>
        </w:tc>
      </w:tr>
      <w:tr w:rsidR="00235400" w:rsidRPr="009F0783" w14:paraId="4348DF07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44ACFF2E" w14:textId="0D737858" w:rsidR="00235400" w:rsidRPr="009F0783" w:rsidRDefault="00235400" w:rsidP="0023540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Visa </w:t>
            </w:r>
          </w:p>
        </w:tc>
        <w:tc>
          <w:tcPr>
            <w:tcW w:w="2865" w:type="dxa"/>
            <w:noWrap/>
            <w:vAlign w:val="center"/>
            <w:hideMark/>
          </w:tcPr>
          <w:p w14:paraId="3BC658C9" w14:textId="22CBF256" w:rsidR="00235400" w:rsidRPr="009F0783" w:rsidRDefault="00235400" w:rsidP="0023540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$0.00 </w:t>
            </w:r>
          </w:p>
        </w:tc>
      </w:tr>
      <w:tr w:rsidR="00235400" w:rsidRPr="009F0783" w14:paraId="67273FA3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5DA0D85F" w14:textId="3687CAB5" w:rsidR="00235400" w:rsidRPr="009F0783" w:rsidRDefault="00235400" w:rsidP="0023540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Passport</w:t>
            </w:r>
          </w:p>
        </w:tc>
        <w:tc>
          <w:tcPr>
            <w:tcW w:w="2865" w:type="dxa"/>
            <w:noWrap/>
            <w:vAlign w:val="center"/>
            <w:hideMark/>
          </w:tcPr>
          <w:p w14:paraId="7E99A3A0" w14:textId="2E3389D5" w:rsidR="00235400" w:rsidRPr="009F0783" w:rsidRDefault="00235400" w:rsidP="0023540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$140.00 </w:t>
            </w:r>
          </w:p>
        </w:tc>
      </w:tr>
      <w:tr w:rsidR="00235400" w:rsidRPr="009F0783" w14:paraId="63337CC0" w14:textId="77777777" w:rsidTr="1CBAB189">
        <w:trPr>
          <w:trHeight w:val="280"/>
        </w:trPr>
        <w:tc>
          <w:tcPr>
            <w:tcW w:w="6465" w:type="dxa"/>
            <w:noWrap/>
            <w:vAlign w:val="center"/>
            <w:hideMark/>
          </w:tcPr>
          <w:p w14:paraId="67C13CA2" w14:textId="26E51287" w:rsidR="00235400" w:rsidRPr="009F0783" w:rsidRDefault="00235400" w:rsidP="0023540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Vaccinations/Health Fees</w:t>
            </w:r>
          </w:p>
        </w:tc>
        <w:tc>
          <w:tcPr>
            <w:tcW w:w="2865" w:type="dxa"/>
            <w:noWrap/>
            <w:vAlign w:val="center"/>
            <w:hideMark/>
          </w:tcPr>
          <w:p w14:paraId="7B400CAF" w14:textId="755E7520" w:rsidR="00235400" w:rsidRPr="009F0783" w:rsidRDefault="00235400" w:rsidP="0023540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$300.00 </w:t>
            </w:r>
          </w:p>
        </w:tc>
      </w:tr>
      <w:tr w:rsidR="00235400" w:rsidRPr="009F0783" w14:paraId="7AED66A6" w14:textId="77777777" w:rsidTr="1CBAB189">
        <w:trPr>
          <w:trHeight w:val="290"/>
        </w:trPr>
        <w:tc>
          <w:tcPr>
            <w:tcW w:w="6465" w:type="dxa"/>
            <w:noWrap/>
            <w:vAlign w:val="center"/>
            <w:hideMark/>
          </w:tcPr>
          <w:p w14:paraId="4945B03C" w14:textId="4028772E" w:rsidR="00235400" w:rsidRPr="009F0783" w:rsidRDefault="00235400" w:rsidP="0023540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Miscellaneous/Personal </w:t>
            </w:r>
          </w:p>
        </w:tc>
        <w:tc>
          <w:tcPr>
            <w:tcW w:w="2865" w:type="dxa"/>
            <w:noWrap/>
            <w:vAlign w:val="center"/>
            <w:hideMark/>
          </w:tcPr>
          <w:p w14:paraId="1186C983" w14:textId="545A3DD9" w:rsidR="00235400" w:rsidRPr="009F0783" w:rsidRDefault="00235400" w:rsidP="00235400">
            <w:pPr>
              <w:jc w:val="right"/>
              <w:rPr>
                <w:sz w:val="24"/>
                <w:szCs w:val="24"/>
              </w:rPr>
            </w:pPr>
            <w:r w:rsidRPr="42BA261F">
              <w:rPr>
                <w:rFonts w:ascii="Calibri" w:hAnsi="Calibri" w:cs="Calibri"/>
                <w:color w:val="000000" w:themeColor="text1"/>
              </w:rPr>
              <w:t>$</w:t>
            </w:r>
            <w:r w:rsidR="77BC20F1" w:rsidRPr="42BA261F">
              <w:rPr>
                <w:rFonts w:ascii="Calibri" w:hAnsi="Calibri" w:cs="Calibri"/>
                <w:color w:val="000000" w:themeColor="text1"/>
              </w:rPr>
              <w:t>3</w:t>
            </w:r>
            <w:r w:rsidRPr="42BA261F">
              <w:rPr>
                <w:rFonts w:ascii="Calibri" w:hAnsi="Calibri" w:cs="Calibri"/>
                <w:color w:val="000000" w:themeColor="text1"/>
              </w:rPr>
              <w:t>,</w:t>
            </w:r>
            <w:r w:rsidR="57EC3176" w:rsidRPr="42BA261F">
              <w:rPr>
                <w:rFonts w:ascii="Calibri" w:hAnsi="Calibri" w:cs="Calibri"/>
                <w:color w:val="000000" w:themeColor="text1"/>
              </w:rPr>
              <w:t>5</w:t>
            </w:r>
            <w:r w:rsidRPr="42BA261F">
              <w:rPr>
                <w:rFonts w:ascii="Calibri" w:hAnsi="Calibri" w:cs="Calibri"/>
                <w:color w:val="000000" w:themeColor="text1"/>
              </w:rPr>
              <w:t xml:space="preserve">00.00 </w:t>
            </w:r>
          </w:p>
        </w:tc>
      </w:tr>
      <w:tr w:rsidR="009F0783" w:rsidRPr="009F0783" w14:paraId="5D4AA7BD" w14:textId="77777777" w:rsidTr="1CBAB189">
        <w:trPr>
          <w:trHeight w:val="290"/>
        </w:trPr>
        <w:tc>
          <w:tcPr>
            <w:tcW w:w="6465" w:type="dxa"/>
            <w:noWrap/>
            <w:hideMark/>
          </w:tcPr>
          <w:p w14:paraId="0087FA20" w14:textId="77777777" w:rsidR="009F0783" w:rsidRPr="009F0783" w:rsidRDefault="009F0783">
            <w:pPr>
              <w:rPr>
                <w:b/>
                <w:bCs/>
                <w:sz w:val="24"/>
                <w:szCs w:val="24"/>
              </w:rPr>
            </w:pPr>
            <w:r w:rsidRPr="009F0783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865" w:type="dxa"/>
            <w:noWrap/>
            <w:hideMark/>
          </w:tcPr>
          <w:p w14:paraId="7B934F00" w14:textId="5CF6FD19" w:rsidR="009F0783" w:rsidRPr="009F0783" w:rsidRDefault="009F0783" w:rsidP="00A65989">
            <w:pPr>
              <w:jc w:val="right"/>
              <w:rPr>
                <w:b/>
                <w:bCs/>
                <w:sz w:val="24"/>
                <w:szCs w:val="24"/>
              </w:rPr>
            </w:pPr>
            <w:r w:rsidRPr="1CBAB189">
              <w:rPr>
                <w:b/>
                <w:bCs/>
                <w:sz w:val="24"/>
                <w:szCs w:val="24"/>
              </w:rPr>
              <w:t>$</w:t>
            </w:r>
            <w:r w:rsidR="53EB0C54" w:rsidRPr="1CBAB189">
              <w:rPr>
                <w:b/>
                <w:bCs/>
                <w:sz w:val="24"/>
                <w:szCs w:val="24"/>
              </w:rPr>
              <w:t>3</w:t>
            </w:r>
            <w:r w:rsidR="32C4FCBF" w:rsidRPr="1CBAB189">
              <w:rPr>
                <w:b/>
                <w:bCs/>
                <w:sz w:val="24"/>
                <w:szCs w:val="24"/>
              </w:rPr>
              <w:t>1</w:t>
            </w:r>
            <w:r w:rsidR="36CD9F0F" w:rsidRPr="1CBAB189">
              <w:rPr>
                <w:b/>
                <w:bCs/>
                <w:sz w:val="24"/>
                <w:szCs w:val="24"/>
              </w:rPr>
              <w:t>,</w:t>
            </w:r>
            <w:r w:rsidR="6BD43291" w:rsidRPr="1CBAB189">
              <w:rPr>
                <w:b/>
                <w:bCs/>
                <w:sz w:val="24"/>
                <w:szCs w:val="24"/>
              </w:rPr>
              <w:t>343</w:t>
            </w:r>
            <w:r w:rsidR="36CD9F0F" w:rsidRPr="1CBAB189">
              <w:rPr>
                <w:b/>
                <w:bCs/>
                <w:sz w:val="24"/>
                <w:szCs w:val="24"/>
              </w:rPr>
              <w:t>.00</w:t>
            </w:r>
          </w:p>
        </w:tc>
      </w:tr>
      <w:tr w:rsidR="009F0783" w:rsidRPr="009F0783" w14:paraId="0D3A0785" w14:textId="77777777" w:rsidTr="1CBAB189">
        <w:trPr>
          <w:trHeight w:val="290"/>
        </w:trPr>
        <w:tc>
          <w:tcPr>
            <w:tcW w:w="9330" w:type="dxa"/>
            <w:gridSpan w:val="2"/>
            <w:noWrap/>
            <w:hideMark/>
          </w:tcPr>
          <w:p w14:paraId="1411E2E4" w14:textId="77777777" w:rsidR="009F0783" w:rsidRPr="009F0783" w:rsidRDefault="009F0783" w:rsidP="009F0783">
            <w:pPr>
              <w:rPr>
                <w:i/>
                <w:iCs/>
                <w:sz w:val="24"/>
                <w:szCs w:val="24"/>
              </w:rPr>
            </w:pPr>
            <w:r w:rsidRPr="009F0783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14:paraId="5BF10B50" w14:textId="22D2015C" w:rsidR="00F467BD" w:rsidRDefault="31D201F3" w:rsidP="1CBAB189">
      <w:pPr>
        <w:rPr>
          <w:rFonts w:ascii="Calibri" w:eastAsia="Calibri" w:hAnsi="Calibri" w:cs="Calibri"/>
          <w:sz w:val="24"/>
          <w:szCs w:val="24"/>
        </w:rPr>
      </w:pPr>
      <w:r w:rsidRPr="1CBAB189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*Rate based on Spring 2024</w:t>
      </w:r>
    </w:p>
    <w:p w14:paraId="494BDBD2" w14:textId="74A0956D" w:rsidR="004F6BB5" w:rsidRDefault="001362C6">
      <w:r w:rsidRPr="006B7752">
        <w:rPr>
          <w:sz w:val="24"/>
          <w:szCs w:val="24"/>
        </w:rPr>
        <w:t>Furth</w:t>
      </w:r>
      <w:r>
        <w:rPr>
          <w:sz w:val="24"/>
          <w:szCs w:val="24"/>
        </w:rPr>
        <w:t>er information</w:t>
      </w:r>
      <w:r w:rsidR="00E808D2">
        <w:rPr>
          <w:sz w:val="24"/>
          <w:szCs w:val="24"/>
        </w:rPr>
        <w:t xml:space="preserve"> on International Summer University at </w:t>
      </w:r>
      <w:r w:rsidR="00E808D2" w:rsidRPr="001362C6">
        <w:rPr>
          <w:rFonts w:eastAsia="Times New Roman" w:cs="Times New Roman"/>
          <w:bCs/>
          <w:sz w:val="24"/>
          <w:szCs w:val="24"/>
        </w:rPr>
        <w:t>Copenhagen Business School</w:t>
      </w:r>
      <w:r>
        <w:rPr>
          <w:sz w:val="24"/>
          <w:szCs w:val="24"/>
        </w:rPr>
        <w:t xml:space="preserve"> can be found </w:t>
      </w:r>
      <w:r w:rsidR="00E808D2">
        <w:rPr>
          <w:sz w:val="24"/>
          <w:szCs w:val="24"/>
        </w:rPr>
        <w:t xml:space="preserve">at this </w:t>
      </w:r>
      <w:r w:rsidRPr="001362C6">
        <w:rPr>
          <w:rFonts w:eastAsia="Times New Roman" w:cs="Times New Roman"/>
          <w:bCs/>
          <w:sz w:val="24"/>
          <w:szCs w:val="24"/>
        </w:rPr>
        <w:t>website</w:t>
      </w:r>
      <w:r>
        <w:rPr>
          <w:rFonts w:eastAsia="Times New Roman" w:cs="Times New Roman"/>
          <w:bCs/>
          <w:sz w:val="24"/>
          <w:szCs w:val="24"/>
        </w:rPr>
        <w:t xml:space="preserve">: </w:t>
      </w:r>
      <w:hyperlink r:id="rId11" w:history="1">
        <w:r w:rsidR="00E808D2" w:rsidRPr="00345BF1">
          <w:rPr>
            <w:rStyle w:val="Hyperlink"/>
          </w:rPr>
          <w:t>https://www.cbs.dk/en/study/international-summer-university</w:t>
        </w:r>
      </w:hyperlink>
    </w:p>
    <w:p w14:paraId="7E3CE65F" w14:textId="006760FF" w:rsidR="001362C6" w:rsidRPr="004F6BB5" w:rsidRDefault="001362C6" w:rsidP="1CBAB189">
      <w:pPr>
        <w:rPr>
          <w:rFonts w:eastAsia="Times New Roman" w:cs="Times New Roman"/>
          <w:sz w:val="24"/>
          <w:szCs w:val="24"/>
        </w:rPr>
      </w:pPr>
    </w:p>
    <w:sectPr w:rsidR="001362C6" w:rsidRPr="004F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FDC"/>
    <w:multiLevelType w:val="hybridMultilevel"/>
    <w:tmpl w:val="46A0F7C2"/>
    <w:lvl w:ilvl="0" w:tplc="DEBEA7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2935"/>
    <w:multiLevelType w:val="hybridMultilevel"/>
    <w:tmpl w:val="6B8420D4"/>
    <w:lvl w:ilvl="0" w:tplc="EB8047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6233">
    <w:abstractNumId w:val="1"/>
  </w:num>
  <w:num w:numId="2" w16cid:durableId="75926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7D"/>
    <w:rsid w:val="0007467E"/>
    <w:rsid w:val="00097E99"/>
    <w:rsid w:val="001362C6"/>
    <w:rsid w:val="0015758C"/>
    <w:rsid w:val="00221BD5"/>
    <w:rsid w:val="00235400"/>
    <w:rsid w:val="00271A5E"/>
    <w:rsid w:val="002A2377"/>
    <w:rsid w:val="002B2DB8"/>
    <w:rsid w:val="002D6EC6"/>
    <w:rsid w:val="0040E0C4"/>
    <w:rsid w:val="00433FCB"/>
    <w:rsid w:val="00450D24"/>
    <w:rsid w:val="004E644C"/>
    <w:rsid w:val="004F6BB5"/>
    <w:rsid w:val="005756E6"/>
    <w:rsid w:val="00591BD7"/>
    <w:rsid w:val="0078557D"/>
    <w:rsid w:val="00800099"/>
    <w:rsid w:val="008048FC"/>
    <w:rsid w:val="00810CEB"/>
    <w:rsid w:val="00890DA1"/>
    <w:rsid w:val="008B5C86"/>
    <w:rsid w:val="00922ED2"/>
    <w:rsid w:val="00966615"/>
    <w:rsid w:val="00974080"/>
    <w:rsid w:val="009F0783"/>
    <w:rsid w:val="009F4D0B"/>
    <w:rsid w:val="00A51A3B"/>
    <w:rsid w:val="00A65989"/>
    <w:rsid w:val="00BF3DC6"/>
    <w:rsid w:val="00C327B0"/>
    <w:rsid w:val="00E42C28"/>
    <w:rsid w:val="00E808D2"/>
    <w:rsid w:val="00EF0AC0"/>
    <w:rsid w:val="00F3CF1E"/>
    <w:rsid w:val="00F467BD"/>
    <w:rsid w:val="00F8376C"/>
    <w:rsid w:val="00FEF89B"/>
    <w:rsid w:val="02FA5E7D"/>
    <w:rsid w:val="032BDC9E"/>
    <w:rsid w:val="0381CAD5"/>
    <w:rsid w:val="078EAC63"/>
    <w:rsid w:val="08E5B8A6"/>
    <w:rsid w:val="094F9B6E"/>
    <w:rsid w:val="09C16D2A"/>
    <w:rsid w:val="0B92F85C"/>
    <w:rsid w:val="0C2D3C79"/>
    <w:rsid w:val="0D8C6A50"/>
    <w:rsid w:val="0DB929C9"/>
    <w:rsid w:val="0E492DF9"/>
    <w:rsid w:val="114184F6"/>
    <w:rsid w:val="1268576A"/>
    <w:rsid w:val="13E4C79A"/>
    <w:rsid w:val="1614F619"/>
    <w:rsid w:val="1CBAB189"/>
    <w:rsid w:val="1CBD235E"/>
    <w:rsid w:val="1E9CABF6"/>
    <w:rsid w:val="1F61D8A8"/>
    <w:rsid w:val="21F4FF17"/>
    <w:rsid w:val="226B3DBE"/>
    <w:rsid w:val="2384F7E1"/>
    <w:rsid w:val="23E3B30E"/>
    <w:rsid w:val="26ABB4C2"/>
    <w:rsid w:val="26BFFCC0"/>
    <w:rsid w:val="27C6A6F3"/>
    <w:rsid w:val="27CED7CA"/>
    <w:rsid w:val="283FBAA1"/>
    <w:rsid w:val="28478523"/>
    <w:rsid w:val="284AC5AB"/>
    <w:rsid w:val="2A5AF40F"/>
    <w:rsid w:val="2C68704F"/>
    <w:rsid w:val="2CCE411A"/>
    <w:rsid w:val="2D955BCE"/>
    <w:rsid w:val="2E997BC0"/>
    <w:rsid w:val="2EB6C6A7"/>
    <w:rsid w:val="31D201F3"/>
    <w:rsid w:val="31E3DA65"/>
    <w:rsid w:val="320C8CA7"/>
    <w:rsid w:val="32C4FCBF"/>
    <w:rsid w:val="336F3E3D"/>
    <w:rsid w:val="34D33E5B"/>
    <w:rsid w:val="36AABB2F"/>
    <w:rsid w:val="36CD9F0F"/>
    <w:rsid w:val="38A170EC"/>
    <w:rsid w:val="3A5B668B"/>
    <w:rsid w:val="3B06AB31"/>
    <w:rsid w:val="3B38AD4A"/>
    <w:rsid w:val="3D87D11E"/>
    <w:rsid w:val="42BA261F"/>
    <w:rsid w:val="44C21974"/>
    <w:rsid w:val="487BBA3D"/>
    <w:rsid w:val="48C0E9F2"/>
    <w:rsid w:val="48CAAD7A"/>
    <w:rsid w:val="4A178A9E"/>
    <w:rsid w:val="4A55BE25"/>
    <w:rsid w:val="4AC965E9"/>
    <w:rsid w:val="4BBC77A8"/>
    <w:rsid w:val="4C8B1848"/>
    <w:rsid w:val="4D4823B3"/>
    <w:rsid w:val="4E66EB7E"/>
    <w:rsid w:val="50E00211"/>
    <w:rsid w:val="5145688D"/>
    <w:rsid w:val="516AAC04"/>
    <w:rsid w:val="51BA8675"/>
    <w:rsid w:val="53EB0C54"/>
    <w:rsid w:val="5435B336"/>
    <w:rsid w:val="5565D944"/>
    <w:rsid w:val="557FA44D"/>
    <w:rsid w:val="55DB2807"/>
    <w:rsid w:val="56E204FF"/>
    <w:rsid w:val="5777D330"/>
    <w:rsid w:val="57EC3176"/>
    <w:rsid w:val="58A077FF"/>
    <w:rsid w:val="58CBC042"/>
    <w:rsid w:val="58E912D1"/>
    <w:rsid w:val="5912C8C9"/>
    <w:rsid w:val="5954EE68"/>
    <w:rsid w:val="595C958C"/>
    <w:rsid w:val="596C789D"/>
    <w:rsid w:val="5E2CEFC3"/>
    <w:rsid w:val="607D0EEF"/>
    <w:rsid w:val="62A34E82"/>
    <w:rsid w:val="62FA3286"/>
    <w:rsid w:val="650C8FE7"/>
    <w:rsid w:val="650D038D"/>
    <w:rsid w:val="66FCD6F0"/>
    <w:rsid w:val="6A1CAF86"/>
    <w:rsid w:val="6BD43291"/>
    <w:rsid w:val="6C7EA906"/>
    <w:rsid w:val="6D545048"/>
    <w:rsid w:val="6F193BDE"/>
    <w:rsid w:val="6FD8B58E"/>
    <w:rsid w:val="7067DEBD"/>
    <w:rsid w:val="7072C8AD"/>
    <w:rsid w:val="7142BE82"/>
    <w:rsid w:val="718446A2"/>
    <w:rsid w:val="71A13808"/>
    <w:rsid w:val="721CA541"/>
    <w:rsid w:val="75570D00"/>
    <w:rsid w:val="7671A1F1"/>
    <w:rsid w:val="76A9E44F"/>
    <w:rsid w:val="76E20A31"/>
    <w:rsid w:val="77BC20F1"/>
    <w:rsid w:val="78B83092"/>
    <w:rsid w:val="7927D78E"/>
    <w:rsid w:val="7A36F07B"/>
    <w:rsid w:val="7A528902"/>
    <w:rsid w:val="7B5BF451"/>
    <w:rsid w:val="7BC2E3D9"/>
    <w:rsid w:val="7D50D7CA"/>
    <w:rsid w:val="7E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0CA3"/>
  <w15:docId w15:val="{06E5AA19-0DCD-46A7-B55F-89A7E5D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0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7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2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F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.dk/e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s.dk/en/study/international-summer-universit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bs.dk/en/study/international-summer-university/accommod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bs.dk/en/international-opportunities/international-students/guestexchange-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7477F530AC241AB6F52AA1212C38A" ma:contentTypeVersion="19" ma:contentTypeDescription="Create a new document." ma:contentTypeScope="" ma:versionID="9744ea714b69279fb328e036d2d0f57d">
  <xsd:schema xmlns:xsd="http://www.w3.org/2001/XMLSchema" xmlns:xs="http://www.w3.org/2001/XMLSchema" xmlns:p="http://schemas.microsoft.com/office/2006/metadata/properties" xmlns:ns2="ea3dfc24-4df4-415f-a492-685cba2bf310" xmlns:ns3="c28585c6-921d-49ed-bde6-c25a52363853" targetNamespace="http://schemas.microsoft.com/office/2006/metadata/properties" ma:root="true" ma:fieldsID="884a6ef9b88f0d1150354f0ae7f57914" ns2:_="" ns3:_="">
    <xsd:import namespace="ea3dfc24-4df4-415f-a492-685cba2bf310"/>
    <xsd:import namespace="c28585c6-921d-49ed-bde6-c25a5236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fc24-4df4-415f-a492-685cba2bf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d8ec79-3e1a-4431-a78a-941e1ec69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585c6-921d-49ed-bde6-c25a52363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6e1b6d-7f17-4ebd-954c-60cc7ab36709}" ma:internalName="TaxCatchAll" ma:showField="CatchAllData" ma:web="c28585c6-921d-49ed-bde6-c25a5236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8585c6-921d-49ed-bde6-c25a52363853" xsi:nil="true"/>
    <lcf76f155ced4ddcb4097134ff3c332f xmlns="ea3dfc24-4df4-415f-a492-685cba2bf3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9D4E59-C0CA-4045-ABB0-27BE911F8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8774E-22A0-4DFF-826E-A0CA9A67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dfc24-4df4-415f-a492-685cba2bf310"/>
    <ds:schemaRef ds:uri="c28585c6-921d-49ed-bde6-c25a52363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C8833-BA0B-4653-8EF0-D10AC1EDA951}">
  <ds:schemaRefs>
    <ds:schemaRef ds:uri="http://schemas.microsoft.com/office/2006/metadata/properties"/>
    <ds:schemaRef ds:uri="http://schemas.microsoft.com/office/infopath/2007/PartnerControls"/>
    <ds:schemaRef ds:uri="c28585c6-921d-49ed-bde6-c25a52363853"/>
    <ds:schemaRef ds:uri="ea3dfc24-4df4-415f-a492-685cba2bf3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Company>USC- Marshall School of Business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Aschieris, Sophia</cp:lastModifiedBy>
  <cp:revision>2</cp:revision>
  <cp:lastPrinted>2018-10-06T00:23:00Z</cp:lastPrinted>
  <dcterms:created xsi:type="dcterms:W3CDTF">2024-01-22T21:06:00Z</dcterms:created>
  <dcterms:modified xsi:type="dcterms:W3CDTF">2024-01-22T21:06:00Z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0x0101002F57477F530AC241AB6F52AA1212C38A</vt:lpwstr>
  </property>
  <property fmtid="{D5CDD505-2E9C-101B-9397-08002B2CF9AE}" pid="3" name="Order">
    <vt:r8>2410200</vt:r8>
  </property>
  <property fmtid="{D5CDD505-2E9C-101B-9397-08002B2CF9AE}" pid="4" name="MediaServiceImageTags">
    <vt:lpwstr/>
  </property>
</Properties>
</file>